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E31" w:rsidRDefault="00750E31" w:rsidP="00750E31">
      <w:pPr>
        <w:spacing w:line="480" w:lineRule="auto"/>
        <w:rPr>
          <w:rFonts w:ascii="Times New Roman" w:hAnsi="Times New Roman" w:cs="Times New Roman"/>
          <w:sz w:val="24"/>
          <w:szCs w:val="24"/>
        </w:rPr>
      </w:pPr>
    </w:p>
    <w:p w:rsidR="00750E31" w:rsidRDefault="00750E31" w:rsidP="00750E31">
      <w:pPr>
        <w:spacing w:line="480" w:lineRule="auto"/>
        <w:rPr>
          <w:rFonts w:ascii="Times New Roman" w:hAnsi="Times New Roman" w:cs="Times New Roman"/>
          <w:sz w:val="24"/>
          <w:szCs w:val="24"/>
        </w:rPr>
      </w:pPr>
    </w:p>
    <w:p w:rsidR="00750E31" w:rsidRDefault="00750E31" w:rsidP="00750E31">
      <w:pPr>
        <w:spacing w:line="480" w:lineRule="auto"/>
        <w:rPr>
          <w:rFonts w:ascii="Times New Roman" w:hAnsi="Times New Roman" w:cs="Times New Roman"/>
          <w:sz w:val="24"/>
          <w:szCs w:val="24"/>
        </w:rPr>
      </w:pPr>
    </w:p>
    <w:p w:rsidR="00750E31" w:rsidRDefault="00750E31" w:rsidP="00750E31">
      <w:pPr>
        <w:spacing w:line="480" w:lineRule="auto"/>
        <w:rPr>
          <w:rFonts w:ascii="Times New Roman" w:hAnsi="Times New Roman" w:cs="Times New Roman"/>
          <w:sz w:val="24"/>
          <w:szCs w:val="24"/>
        </w:rPr>
      </w:pPr>
    </w:p>
    <w:p w:rsidR="00750E31" w:rsidRDefault="00750E31" w:rsidP="00750E31">
      <w:pPr>
        <w:spacing w:line="480" w:lineRule="auto"/>
        <w:rPr>
          <w:rFonts w:ascii="Times New Roman" w:hAnsi="Times New Roman" w:cs="Times New Roman"/>
          <w:sz w:val="24"/>
          <w:szCs w:val="24"/>
        </w:rPr>
      </w:pPr>
    </w:p>
    <w:p w:rsidR="00750E31" w:rsidRDefault="00750E31" w:rsidP="00750E31">
      <w:pPr>
        <w:spacing w:line="480" w:lineRule="auto"/>
        <w:rPr>
          <w:rFonts w:ascii="Times New Roman" w:hAnsi="Times New Roman" w:cs="Times New Roman"/>
          <w:sz w:val="24"/>
          <w:szCs w:val="24"/>
        </w:rPr>
      </w:pPr>
    </w:p>
    <w:p w:rsidR="00750E31" w:rsidRDefault="00750E31" w:rsidP="0051712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Corporate Finance Decision</w:t>
      </w:r>
    </w:p>
    <w:p w:rsidR="00750E31" w:rsidRDefault="00750E31" w:rsidP="0051712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750E31" w:rsidRDefault="00750E31" w:rsidP="0051712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50E31" w:rsidRDefault="00750E31" w:rsidP="0051712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750E31" w:rsidRDefault="00750E31" w:rsidP="0051712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Corporate Finance Decision</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Introduction</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 xml:space="preserve">Corporate finance is an essential area in the </w:t>
      </w:r>
      <w:r w:rsidR="0051712A" w:rsidRPr="00750E31">
        <w:rPr>
          <w:rFonts w:ascii="Times New Roman" w:hAnsi="Times New Roman" w:cs="Times New Roman"/>
          <w:sz w:val="24"/>
          <w:szCs w:val="24"/>
        </w:rPr>
        <w:t>organization</w:t>
      </w:r>
      <w:r w:rsidRPr="00750E31">
        <w:rPr>
          <w:rFonts w:ascii="Times New Roman" w:hAnsi="Times New Roman" w:cs="Times New Roman"/>
          <w:sz w:val="24"/>
          <w:szCs w:val="24"/>
        </w:rPr>
        <w:t xml:space="preserve"> as it helps the </w:t>
      </w:r>
      <w:r w:rsidR="0051712A" w:rsidRPr="00750E31">
        <w:rPr>
          <w:rFonts w:ascii="Times New Roman" w:hAnsi="Times New Roman" w:cs="Times New Roman"/>
          <w:sz w:val="24"/>
          <w:szCs w:val="24"/>
        </w:rPr>
        <w:t>organization</w:t>
      </w:r>
      <w:r w:rsidRPr="00750E31">
        <w:rPr>
          <w:rFonts w:ascii="Times New Roman" w:hAnsi="Times New Roman" w:cs="Times New Roman"/>
          <w:sz w:val="24"/>
          <w:szCs w:val="24"/>
        </w:rPr>
        <w:t xml:space="preserve"> take control of its financing decisions in terms of the sources of funding, the decisions to either fund assets using debt or equity as well as the actions that will help managers </w:t>
      </w:r>
      <w:r w:rsidR="0051712A" w:rsidRPr="00750E31">
        <w:rPr>
          <w:rFonts w:ascii="Times New Roman" w:hAnsi="Times New Roman" w:cs="Times New Roman"/>
          <w:sz w:val="24"/>
          <w:szCs w:val="24"/>
        </w:rPr>
        <w:t>increases</w:t>
      </w:r>
      <w:r w:rsidRPr="00750E31">
        <w:rPr>
          <w:rFonts w:ascii="Times New Roman" w:hAnsi="Times New Roman" w:cs="Times New Roman"/>
          <w:sz w:val="24"/>
          <w:szCs w:val="24"/>
        </w:rPr>
        <w:t xml:space="preserve"> the shareholders’ value without </w:t>
      </w:r>
      <w:r w:rsidR="0051712A" w:rsidRPr="00750E31">
        <w:rPr>
          <w:rFonts w:ascii="Times New Roman" w:hAnsi="Times New Roman" w:cs="Times New Roman"/>
          <w:sz w:val="24"/>
          <w:szCs w:val="24"/>
        </w:rPr>
        <w:t>jeopardizing</w:t>
      </w:r>
      <w:r w:rsidRPr="00750E31">
        <w:rPr>
          <w:rFonts w:ascii="Times New Roman" w:hAnsi="Times New Roman" w:cs="Times New Roman"/>
          <w:sz w:val="24"/>
          <w:szCs w:val="24"/>
        </w:rPr>
        <w:t xml:space="preserve"> the other stakeholders’ interests. In this regard, corporate finance can be seen as the engine of the financial decisions of an </w:t>
      </w:r>
      <w:r w:rsidR="0051712A" w:rsidRPr="00750E31">
        <w:rPr>
          <w:rFonts w:ascii="Times New Roman" w:hAnsi="Times New Roman" w:cs="Times New Roman"/>
          <w:sz w:val="24"/>
          <w:szCs w:val="24"/>
        </w:rPr>
        <w:t>organization</w:t>
      </w:r>
      <w:r w:rsidRPr="00750E31">
        <w:rPr>
          <w:rFonts w:ascii="Times New Roman" w:hAnsi="Times New Roman" w:cs="Times New Roman"/>
          <w:sz w:val="24"/>
          <w:szCs w:val="24"/>
        </w:rPr>
        <w:t>. Due to the importance of corporate finance in any firm, this paper will provide a summary of the critical sections constituting corporate finance, which are; Capital Budgeting, Capital Structure, and Working Capital Management. In the same way, the personal reflection and critical analysis of the vital sections will be outlined.</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Capital budgeting</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 xml:space="preserve">The first question that a manager has to answer corresponds to the capital budgeting decisions. A manager has to plan and manage a firm’s long-term investment decisions through the process known as capital budgeting.  As the section outlines, the financial manager is involved in the process of identifying all the investment opportunities. The manager should then </w:t>
      </w:r>
      <w:r w:rsidR="0051712A" w:rsidRPr="00750E31">
        <w:rPr>
          <w:rFonts w:ascii="Times New Roman" w:hAnsi="Times New Roman" w:cs="Times New Roman"/>
          <w:sz w:val="24"/>
          <w:szCs w:val="24"/>
        </w:rPr>
        <w:t>analyses</w:t>
      </w:r>
      <w:r w:rsidRPr="00750E31">
        <w:rPr>
          <w:rFonts w:ascii="Times New Roman" w:hAnsi="Times New Roman" w:cs="Times New Roman"/>
          <w:sz w:val="24"/>
          <w:szCs w:val="24"/>
        </w:rPr>
        <w:t xml:space="preserve"> them to determine which of the prospects have more benefits to the firm than the associated costs (Baker, &amp; Martin, 2011). To justify the decision, the expected cash inflows of the investment must be more than the expected cash outflows. The nature of an </w:t>
      </w:r>
      <w:r w:rsidR="0051712A" w:rsidRPr="00750E31">
        <w:rPr>
          <w:rFonts w:ascii="Times New Roman" w:hAnsi="Times New Roman" w:cs="Times New Roman"/>
          <w:sz w:val="24"/>
          <w:szCs w:val="24"/>
        </w:rPr>
        <w:t>organization</w:t>
      </w:r>
      <w:r w:rsidRPr="00750E31">
        <w:rPr>
          <w:rFonts w:ascii="Times New Roman" w:hAnsi="Times New Roman" w:cs="Times New Roman"/>
          <w:sz w:val="24"/>
          <w:szCs w:val="24"/>
        </w:rPr>
        <w:t xml:space="preserve"> plays an essential role in the decision of the type of investments that it considers</w:t>
      </w:r>
      <w:r w:rsidR="00AE0BC1">
        <w:rPr>
          <w:rFonts w:ascii="Times New Roman" w:hAnsi="Times New Roman" w:cs="Times New Roman"/>
          <w:sz w:val="24"/>
          <w:szCs w:val="24"/>
        </w:rPr>
        <w:t xml:space="preserve"> (Rose, Westerfield, &amp; Jordan, 2010)</w:t>
      </w:r>
      <w:r w:rsidRPr="00750E31">
        <w:rPr>
          <w:rFonts w:ascii="Times New Roman" w:hAnsi="Times New Roman" w:cs="Times New Roman"/>
          <w:sz w:val="24"/>
          <w:szCs w:val="24"/>
        </w:rPr>
        <w:t xml:space="preserve">. </w:t>
      </w:r>
    </w:p>
    <w:p w:rsidR="00A044C8" w:rsidRPr="00750E31" w:rsidRDefault="00A044C8" w:rsidP="0051712A">
      <w:pPr>
        <w:spacing w:after="0" w:line="480" w:lineRule="auto"/>
        <w:contextualSpacing/>
        <w:rPr>
          <w:rFonts w:ascii="Times New Roman" w:hAnsi="Times New Roman" w:cs="Times New Roman"/>
          <w:sz w:val="24"/>
          <w:szCs w:val="24"/>
        </w:rPr>
      </w:pPr>
      <w:r w:rsidRPr="00750E31">
        <w:rPr>
          <w:rFonts w:ascii="Times New Roman" w:hAnsi="Times New Roman" w:cs="Times New Roman"/>
          <w:sz w:val="24"/>
          <w:szCs w:val="24"/>
        </w:rPr>
        <w:t>It should be noted that the nature of the firm’s business should not be the sole consideration when deciding on the opportunity to invest in. Importantly, a manager should consider the time and the likelihood of actually enjoying the benefits of the proposed investment (</w:t>
      </w:r>
      <w:r w:rsidR="00AE0BC1">
        <w:rPr>
          <w:rFonts w:ascii="Times New Roman" w:hAnsi="Times New Roman" w:cs="Times New Roman"/>
          <w:sz w:val="24"/>
          <w:szCs w:val="24"/>
        </w:rPr>
        <w:t>Rose, Westerfield, &amp; Jordan, 2010</w:t>
      </w:r>
      <w:r w:rsidRPr="00750E31">
        <w:rPr>
          <w:rFonts w:ascii="Times New Roman" w:hAnsi="Times New Roman" w:cs="Times New Roman"/>
          <w:sz w:val="24"/>
          <w:szCs w:val="24"/>
        </w:rPr>
        <w:t>). In this regard, an investment should be considered from the perspective of its cash inflows in terms of the size of the cash flows, the timing of each cash inflow and the risk of actually getting the projected benefits (Namanda, 2017).</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Capital Structure</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Having identified the long-term investments, the second question that a manager should answer is how the firm is going to raise the required funds (Baker, &amp; Martin, 2011). The manager, not only decides on the ways of obtaining the funds, but also on the best means of managing those funds to ensure they meet the expected benefits. In this case, the capital structure refers to the long-term debts and equity that a firm uses in financing its long-term investments (Namanda, 2017). Each mixture has its benefits and weaknesses.</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Consequently, the financial manager is involved in making two critical decisions when deciding on the capital structure (Baker, &amp; Martin, 2011). The first is the decision on how much the firm should borrow. In this case, borrowing decision is critical since each mixture chosen affects both the risks and the value of the firm. The second answer has to address the question of the least expensive sources of funds. Each fund (equity or debt) has its associated costs (Baker, &amp; Martin, 2011). The manager should, therefore, decide on the least expensive one.</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Finally, the financial manager has to make strategic decisions concerning how and where to raise the required funds (</w:t>
      </w:r>
      <w:r w:rsidR="004E328A">
        <w:rPr>
          <w:rFonts w:ascii="Times New Roman" w:hAnsi="Times New Roman" w:cs="Times New Roman"/>
          <w:sz w:val="24"/>
          <w:szCs w:val="24"/>
        </w:rPr>
        <w:t>Rose, Westerfield, &amp; Jordan, 2010</w:t>
      </w:r>
      <w:r w:rsidRPr="00750E31">
        <w:rPr>
          <w:rFonts w:ascii="Times New Roman" w:hAnsi="Times New Roman" w:cs="Times New Roman"/>
          <w:sz w:val="24"/>
          <w:szCs w:val="24"/>
        </w:rPr>
        <w:t>). In this case, the manager has analysed all the available sources of raising money to decide on the cheapest and least risky method of getting the funds. The firm will, therefore, choose its lenders and loan offers to take.</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Working Capital</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Working capital refers to the short-term assets and short-term liabilities of a firm (Namanda, 2017). In this case, a manager has to decide on the best efficient ways of managing such working capital.  The manager has to ensure that the daily operations of the organisation are not interrupted due to poor management of the working capital. Cash at hand and in bank has to be efficiently managed so that resources are continuously available for the short-term operations. In this case, the manager has to decide on the cash kept at hand, the selling approach (credit or cash basis), the level of inventory held on hand as well as the short-term financing the firm would be needed to obtain</w:t>
      </w:r>
      <w:r w:rsidR="004E328A">
        <w:rPr>
          <w:rFonts w:ascii="Times New Roman" w:hAnsi="Times New Roman" w:cs="Times New Roman"/>
          <w:sz w:val="24"/>
          <w:szCs w:val="24"/>
        </w:rPr>
        <w:t xml:space="preserve"> (Rose, Westerfield, &amp; Jordan, 2010)</w:t>
      </w:r>
      <w:r w:rsidRPr="00750E31">
        <w:rPr>
          <w:rFonts w:ascii="Times New Roman" w:hAnsi="Times New Roman" w:cs="Times New Roman"/>
          <w:sz w:val="24"/>
          <w:szCs w:val="24"/>
        </w:rPr>
        <w:t>. In this case, the short-term funding and short-term investing decisions are as well critical as the long-term decisions.</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Personal Reflection</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Having studied the corporate finance topic, it has become clear to me that a financial manager involves himself in some of the most critical decisions core to the value-creation. Reflecting on the subject, a manager should have all the managerial skills needed to decide on the capital budgeting of the firm effectively. Determining the most appropriate capital budgeting requires the manager to engage in a comprehensive analysis of all the available opportunities. Then, I have learnt that the next step involves the decision concerning the funding mixture. Depending on the risks and costs associated, the manager decides on the equity and debt that will be used to finance the identified opportunities. The last reflection is on working capital management. In this, I have learnt that the short-term efficiency of a firm will determine its long-term success, hence the need to manage the short-term working assets and liabilities.</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Critical Analysis</w:t>
      </w:r>
    </w:p>
    <w:p w:rsidR="00A044C8" w:rsidRPr="00750E31" w:rsidRDefault="00A044C8" w:rsidP="0051712A">
      <w:pPr>
        <w:spacing w:after="0" w:line="480" w:lineRule="auto"/>
        <w:ind w:firstLine="720"/>
        <w:contextualSpacing/>
        <w:rPr>
          <w:rFonts w:ascii="Times New Roman" w:hAnsi="Times New Roman" w:cs="Times New Roman"/>
          <w:sz w:val="24"/>
          <w:szCs w:val="24"/>
        </w:rPr>
      </w:pPr>
      <w:r w:rsidRPr="00750E31">
        <w:rPr>
          <w:rFonts w:ascii="Times New Roman" w:hAnsi="Times New Roman" w:cs="Times New Roman"/>
          <w:sz w:val="24"/>
          <w:szCs w:val="24"/>
        </w:rPr>
        <w:t>From the three constituents of corporate finance, it is evident that the financial success of a firm depends on the efficient management of the capital budgeting, capital structure and the working capital management. In this case, choosing the least expensive, least risky and the most beneficial opportunity leads to the creation of more value to shareholders. In the same way, deciding on the least expensive, least risky and readily available sources of funds will help in attaining the most applicable capital mix. Finally, efficient management of the short-term assets and liabilities leads to the avoidance of any significant interruption in the day-to-day operations of the firm, hence offering the most needed support towards achieving the long-term goals.</w:t>
      </w:r>
    </w:p>
    <w:p w:rsidR="00A044C8" w:rsidRPr="00750E31" w:rsidRDefault="00A044C8" w:rsidP="0051712A">
      <w:pPr>
        <w:spacing w:after="0" w:line="480" w:lineRule="auto"/>
        <w:contextualSpacing/>
        <w:jc w:val="center"/>
        <w:rPr>
          <w:rFonts w:ascii="Times New Roman" w:hAnsi="Times New Roman" w:cs="Times New Roman"/>
          <w:b/>
          <w:sz w:val="24"/>
          <w:szCs w:val="24"/>
        </w:rPr>
      </w:pPr>
      <w:r w:rsidRPr="00750E31">
        <w:rPr>
          <w:rFonts w:ascii="Times New Roman" w:hAnsi="Times New Roman" w:cs="Times New Roman"/>
          <w:b/>
          <w:sz w:val="24"/>
          <w:szCs w:val="24"/>
        </w:rPr>
        <w:t>Conclusion</w:t>
      </w:r>
    </w:p>
    <w:p w:rsidR="00A044C8" w:rsidRPr="00750E31" w:rsidRDefault="00750E31" w:rsidP="0051712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three components of corp</w:t>
      </w:r>
      <w:r w:rsidR="00A044C8" w:rsidRPr="00750E31">
        <w:rPr>
          <w:rFonts w:ascii="Times New Roman" w:hAnsi="Times New Roman" w:cs="Times New Roman"/>
          <w:sz w:val="24"/>
          <w:szCs w:val="24"/>
        </w:rPr>
        <w:t xml:space="preserve">orate finance have been discussed. It is evident that a firm’s success depends on the efficient management of both long-term and short-term investment decisions. In this case, the capital budgeting is vital in ensuring an organisation involves in profitable long-term investments, capital structure helps in determining the most-appropriate mixture of long-term debt and equity. Finally, the working capital management helps in ensuring the </w:t>
      </w:r>
      <w:r w:rsidR="0051712A" w:rsidRPr="00750E31">
        <w:rPr>
          <w:rFonts w:ascii="Times New Roman" w:hAnsi="Times New Roman" w:cs="Times New Roman"/>
          <w:sz w:val="24"/>
          <w:szCs w:val="24"/>
        </w:rPr>
        <w:t>organization</w:t>
      </w:r>
      <w:r w:rsidR="00A044C8" w:rsidRPr="00750E31">
        <w:rPr>
          <w:rFonts w:ascii="Times New Roman" w:hAnsi="Times New Roman" w:cs="Times New Roman"/>
          <w:sz w:val="24"/>
          <w:szCs w:val="24"/>
        </w:rPr>
        <w:t xml:space="preserve"> continues to smoothly operate without significant interruptions due to the availability of the necessary resources. </w:t>
      </w:r>
    </w:p>
    <w:p w:rsidR="00A044C8" w:rsidRPr="00750E31" w:rsidRDefault="00A044C8" w:rsidP="00750E31">
      <w:pPr>
        <w:spacing w:line="480" w:lineRule="auto"/>
        <w:rPr>
          <w:rFonts w:ascii="Times New Roman" w:hAnsi="Times New Roman" w:cs="Times New Roman"/>
          <w:sz w:val="24"/>
          <w:szCs w:val="24"/>
        </w:rPr>
      </w:pPr>
      <w:r w:rsidRPr="00750E31">
        <w:rPr>
          <w:rFonts w:ascii="Times New Roman" w:hAnsi="Times New Roman" w:cs="Times New Roman"/>
          <w:sz w:val="24"/>
          <w:szCs w:val="24"/>
        </w:rPr>
        <w:t> </w:t>
      </w:r>
    </w:p>
    <w:p w:rsidR="00A044C8" w:rsidRPr="00750E31" w:rsidRDefault="00A044C8" w:rsidP="00750E31">
      <w:pPr>
        <w:spacing w:line="480" w:lineRule="auto"/>
        <w:rPr>
          <w:rFonts w:ascii="Times New Roman" w:hAnsi="Times New Roman" w:cs="Times New Roman"/>
          <w:sz w:val="24"/>
          <w:szCs w:val="24"/>
        </w:rPr>
      </w:pPr>
      <w:r w:rsidRPr="00750E31">
        <w:rPr>
          <w:rFonts w:ascii="Times New Roman" w:hAnsi="Times New Roman" w:cs="Times New Roman"/>
          <w:sz w:val="24"/>
          <w:szCs w:val="24"/>
        </w:rPr>
        <w:br w:type="page"/>
      </w:r>
    </w:p>
    <w:p w:rsidR="00A044C8" w:rsidRPr="00750E31" w:rsidRDefault="00A044C8" w:rsidP="0051712A">
      <w:pPr>
        <w:spacing w:after="0" w:line="480" w:lineRule="auto"/>
        <w:contextualSpacing/>
        <w:jc w:val="center"/>
        <w:rPr>
          <w:rFonts w:ascii="Times New Roman" w:hAnsi="Times New Roman" w:cs="Times New Roman"/>
          <w:sz w:val="24"/>
          <w:szCs w:val="24"/>
        </w:rPr>
      </w:pPr>
      <w:r w:rsidRPr="00750E31">
        <w:rPr>
          <w:rFonts w:ascii="Times New Roman" w:hAnsi="Times New Roman" w:cs="Times New Roman"/>
          <w:sz w:val="24"/>
          <w:szCs w:val="24"/>
        </w:rPr>
        <w:t>References</w:t>
      </w:r>
    </w:p>
    <w:p w:rsidR="00A044C8" w:rsidRPr="00750E31" w:rsidRDefault="00A044C8" w:rsidP="0051712A">
      <w:pPr>
        <w:spacing w:after="0" w:line="480" w:lineRule="auto"/>
        <w:ind w:left="720" w:hanging="720"/>
        <w:contextualSpacing/>
        <w:rPr>
          <w:rFonts w:ascii="Times New Roman" w:hAnsi="Times New Roman" w:cs="Times New Roman"/>
          <w:sz w:val="24"/>
          <w:szCs w:val="24"/>
        </w:rPr>
      </w:pPr>
      <w:r w:rsidRPr="00750E31">
        <w:rPr>
          <w:rFonts w:ascii="Times New Roman" w:hAnsi="Times New Roman" w:cs="Times New Roman"/>
          <w:sz w:val="24"/>
          <w:szCs w:val="24"/>
        </w:rPr>
        <w:t xml:space="preserve">Baker, H. K., &amp; Martin, G. S. (2011). </w:t>
      </w:r>
      <w:r w:rsidRPr="00750E31">
        <w:rPr>
          <w:rFonts w:ascii="Times New Roman" w:hAnsi="Times New Roman" w:cs="Times New Roman"/>
          <w:i/>
          <w:sz w:val="24"/>
          <w:szCs w:val="24"/>
        </w:rPr>
        <w:t xml:space="preserve">Capital structure and corporate financing decisions: </w:t>
      </w:r>
      <w:r w:rsidR="0051712A">
        <w:rPr>
          <w:rFonts w:ascii="Times New Roman" w:hAnsi="Times New Roman" w:cs="Times New Roman"/>
          <w:i/>
          <w:sz w:val="24"/>
          <w:szCs w:val="24"/>
        </w:rPr>
        <w:t xml:space="preserve"> </w:t>
      </w:r>
      <w:r w:rsidRPr="00750E31">
        <w:rPr>
          <w:rFonts w:ascii="Times New Roman" w:hAnsi="Times New Roman" w:cs="Times New Roman"/>
          <w:i/>
          <w:sz w:val="24"/>
          <w:szCs w:val="24"/>
        </w:rPr>
        <w:t>Theory, evidence, and practice</w:t>
      </w:r>
      <w:r w:rsidRPr="00750E31">
        <w:rPr>
          <w:rFonts w:ascii="Times New Roman" w:hAnsi="Times New Roman" w:cs="Times New Roman"/>
          <w:sz w:val="24"/>
          <w:szCs w:val="24"/>
        </w:rPr>
        <w:t>. Hoboken, New Jersey: Wiley, John Wiley &amp; Sons, Inc.</w:t>
      </w:r>
    </w:p>
    <w:p w:rsidR="00A044C8" w:rsidRDefault="00A044C8" w:rsidP="0051712A">
      <w:pPr>
        <w:spacing w:after="0" w:line="480" w:lineRule="auto"/>
        <w:ind w:left="720" w:hanging="720"/>
        <w:contextualSpacing/>
        <w:rPr>
          <w:rFonts w:ascii="Times New Roman" w:hAnsi="Times New Roman" w:cs="Times New Roman"/>
          <w:sz w:val="24"/>
          <w:szCs w:val="24"/>
        </w:rPr>
      </w:pPr>
      <w:r w:rsidRPr="00750E31">
        <w:rPr>
          <w:rFonts w:ascii="Times New Roman" w:hAnsi="Times New Roman" w:cs="Times New Roman"/>
          <w:sz w:val="24"/>
          <w:szCs w:val="24"/>
        </w:rPr>
        <w:t xml:space="preserve">Namanda, M. (2017). </w:t>
      </w:r>
      <w:r w:rsidRPr="00750E31">
        <w:rPr>
          <w:rFonts w:ascii="Times New Roman" w:hAnsi="Times New Roman" w:cs="Times New Roman"/>
          <w:i/>
          <w:sz w:val="24"/>
          <w:szCs w:val="24"/>
        </w:rPr>
        <w:t>Capital Budgeting, Net Present Value and other Business Decision Making Tools</w:t>
      </w:r>
      <w:r w:rsidRPr="00750E31">
        <w:rPr>
          <w:rFonts w:ascii="Times New Roman" w:hAnsi="Times New Roman" w:cs="Times New Roman"/>
          <w:sz w:val="24"/>
          <w:szCs w:val="24"/>
        </w:rPr>
        <w:t>. Munich: GRIN Publishin</w:t>
      </w:r>
      <w:bookmarkStart w:id="0" w:name="_GoBack"/>
      <w:bookmarkEnd w:id="0"/>
      <w:r w:rsidRPr="00750E31">
        <w:rPr>
          <w:rFonts w:ascii="Times New Roman" w:hAnsi="Times New Roman" w:cs="Times New Roman"/>
          <w:sz w:val="24"/>
          <w:szCs w:val="24"/>
        </w:rPr>
        <w:t>g.</w:t>
      </w:r>
    </w:p>
    <w:p w:rsidR="00AE0BC1" w:rsidRPr="00AE0BC1" w:rsidRDefault="00AE0BC1" w:rsidP="0051712A">
      <w:pPr>
        <w:spacing w:after="0" w:line="480" w:lineRule="auto"/>
        <w:ind w:left="720" w:hanging="720"/>
        <w:contextualSpacing/>
      </w:pPr>
      <w:r>
        <w:rPr>
          <w:rFonts w:ascii="Times New Roman" w:hAnsi="Times New Roman" w:cs="Times New Roman"/>
          <w:sz w:val="24"/>
          <w:szCs w:val="24"/>
        </w:rPr>
        <w:t xml:space="preserve">Rose, A. S., Westerfield, W.R. &amp;Jordan, D.B. (2010). </w:t>
      </w:r>
      <w:r>
        <w:rPr>
          <w:rFonts w:ascii="Times New Roman" w:hAnsi="Times New Roman" w:cs="Times New Roman"/>
          <w:i/>
          <w:sz w:val="24"/>
          <w:szCs w:val="24"/>
        </w:rPr>
        <w:t>Fun</w:t>
      </w:r>
      <w:r w:rsidR="0051712A">
        <w:rPr>
          <w:rFonts w:ascii="Times New Roman" w:hAnsi="Times New Roman" w:cs="Times New Roman"/>
          <w:i/>
          <w:sz w:val="24"/>
          <w:szCs w:val="24"/>
        </w:rPr>
        <w:t xml:space="preserve">damental of Corporate Finance. </w:t>
      </w:r>
      <w:r>
        <w:rPr>
          <w:rFonts w:ascii="Times New Roman" w:hAnsi="Times New Roman" w:cs="Times New Roman"/>
          <w:sz w:val="24"/>
          <w:szCs w:val="24"/>
        </w:rPr>
        <w:t>Boston: McGrawhill.</w:t>
      </w:r>
    </w:p>
    <w:sectPr w:rsidR="00AE0BC1" w:rsidRPr="00AE0BC1" w:rsidSect="00750E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0AF3" w:rsidRDefault="00F40AF3" w:rsidP="00750E31">
      <w:pPr>
        <w:spacing w:after="0" w:line="240" w:lineRule="auto"/>
      </w:pPr>
      <w:r>
        <w:separator/>
      </w:r>
    </w:p>
  </w:endnote>
  <w:endnote w:type="continuationSeparator" w:id="0">
    <w:p w:rsidR="00F40AF3" w:rsidRDefault="00F40AF3" w:rsidP="00750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0AF3" w:rsidRDefault="00F40AF3" w:rsidP="00750E31">
      <w:pPr>
        <w:spacing w:after="0" w:line="240" w:lineRule="auto"/>
      </w:pPr>
      <w:r>
        <w:separator/>
      </w:r>
    </w:p>
  </w:footnote>
  <w:footnote w:type="continuationSeparator" w:id="0">
    <w:p w:rsidR="00F40AF3" w:rsidRDefault="00F40AF3" w:rsidP="00750E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31" w:rsidRPr="00750E31" w:rsidRDefault="00750E31" w:rsidP="00750E31">
    <w:pPr>
      <w:pStyle w:val="Header"/>
      <w:jc w:val="center"/>
      <w:rPr>
        <w:rFonts w:ascii="Times New Roman" w:hAnsi="Times New Roman" w:cs="Times New Roman"/>
        <w:sz w:val="24"/>
        <w:szCs w:val="24"/>
      </w:rPr>
    </w:pPr>
    <w:r w:rsidRPr="00750E31">
      <w:rPr>
        <w:rFonts w:ascii="Times New Roman" w:hAnsi="Times New Roman" w:cs="Times New Roman"/>
        <w:sz w:val="24"/>
        <w:szCs w:val="24"/>
      </w:rPr>
      <w:t>CORPORATE FINANCE SUMMARY</w:t>
    </w:r>
    <w:r w:rsidRPr="00750E31">
      <w:rPr>
        <w:rFonts w:ascii="Times New Roman" w:hAnsi="Times New Roman" w:cs="Times New Roman"/>
        <w:sz w:val="24"/>
        <w:szCs w:val="24"/>
      </w:rPr>
      <w:tab/>
    </w:r>
    <w:r w:rsidRPr="00750E31">
      <w:rPr>
        <w:rFonts w:ascii="Times New Roman" w:hAnsi="Times New Roman" w:cs="Times New Roman"/>
        <w:sz w:val="24"/>
        <w:szCs w:val="24"/>
      </w:rPr>
      <w:tab/>
    </w:r>
    <w:sdt>
      <w:sdtPr>
        <w:rPr>
          <w:rFonts w:ascii="Times New Roman" w:hAnsi="Times New Roman" w:cs="Times New Roman"/>
          <w:sz w:val="24"/>
          <w:szCs w:val="24"/>
        </w:rPr>
        <w:id w:val="-477992281"/>
        <w:docPartObj>
          <w:docPartGallery w:val="Page Numbers (Top of Page)"/>
          <w:docPartUnique/>
        </w:docPartObj>
      </w:sdtPr>
      <w:sdtEndPr>
        <w:rPr>
          <w:noProof/>
        </w:rPr>
      </w:sdtEndPr>
      <w:sdtContent>
        <w:r w:rsidRPr="00750E31">
          <w:rPr>
            <w:rFonts w:ascii="Times New Roman" w:hAnsi="Times New Roman" w:cs="Times New Roman"/>
            <w:sz w:val="24"/>
            <w:szCs w:val="24"/>
          </w:rPr>
          <w:fldChar w:fldCharType="begin"/>
        </w:r>
        <w:r w:rsidRPr="00750E31">
          <w:rPr>
            <w:rFonts w:ascii="Times New Roman" w:hAnsi="Times New Roman" w:cs="Times New Roman"/>
            <w:sz w:val="24"/>
            <w:szCs w:val="24"/>
          </w:rPr>
          <w:instrText xml:space="preserve"> PAGE   \* MERGEFORMAT </w:instrText>
        </w:r>
        <w:r w:rsidRPr="00750E31">
          <w:rPr>
            <w:rFonts w:ascii="Times New Roman" w:hAnsi="Times New Roman" w:cs="Times New Roman"/>
            <w:sz w:val="24"/>
            <w:szCs w:val="24"/>
          </w:rPr>
          <w:fldChar w:fldCharType="separate"/>
        </w:r>
        <w:r w:rsidR="0051712A">
          <w:rPr>
            <w:rFonts w:ascii="Times New Roman" w:hAnsi="Times New Roman" w:cs="Times New Roman"/>
            <w:noProof/>
            <w:sz w:val="24"/>
            <w:szCs w:val="24"/>
          </w:rPr>
          <w:t>6</w:t>
        </w:r>
        <w:r w:rsidRPr="00750E31">
          <w:rPr>
            <w:rFonts w:ascii="Times New Roman" w:hAnsi="Times New Roman" w:cs="Times New Roman"/>
            <w:noProof/>
            <w:sz w:val="24"/>
            <w:szCs w:val="24"/>
          </w:rPr>
          <w:fldChar w:fldCharType="end"/>
        </w:r>
      </w:sdtContent>
    </w:sdt>
  </w:p>
  <w:p w:rsidR="00750E31" w:rsidRPr="00750E31" w:rsidRDefault="00750E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0E31" w:rsidRPr="00750E31" w:rsidRDefault="00750E31" w:rsidP="00750E31">
    <w:pPr>
      <w:pStyle w:val="Header"/>
      <w:jc w:val="right"/>
      <w:rPr>
        <w:rFonts w:ascii="Times New Roman" w:hAnsi="Times New Roman" w:cs="Times New Roman"/>
        <w:sz w:val="24"/>
        <w:szCs w:val="24"/>
      </w:rPr>
    </w:pPr>
    <w:r w:rsidRPr="00750E31">
      <w:rPr>
        <w:rFonts w:ascii="Times New Roman" w:hAnsi="Times New Roman" w:cs="Times New Roman"/>
        <w:sz w:val="24"/>
        <w:szCs w:val="24"/>
      </w:rPr>
      <w:t>Running head: CORPORATE FINANCE SUMMARY</w:t>
    </w:r>
    <w:r w:rsidRPr="00750E31">
      <w:rPr>
        <w:rFonts w:ascii="Times New Roman" w:hAnsi="Times New Roman" w:cs="Times New Roman"/>
        <w:sz w:val="24"/>
        <w:szCs w:val="24"/>
      </w:rPr>
      <w:tab/>
    </w:r>
    <w:r w:rsidRPr="00750E31">
      <w:rPr>
        <w:rFonts w:ascii="Times New Roman" w:hAnsi="Times New Roman" w:cs="Times New Roman"/>
        <w:sz w:val="24"/>
        <w:szCs w:val="24"/>
      </w:rPr>
      <w:tab/>
    </w:r>
    <w:sdt>
      <w:sdtPr>
        <w:rPr>
          <w:rFonts w:ascii="Times New Roman" w:hAnsi="Times New Roman" w:cs="Times New Roman"/>
          <w:sz w:val="24"/>
          <w:szCs w:val="24"/>
        </w:rPr>
        <w:id w:val="1279450549"/>
        <w:docPartObj>
          <w:docPartGallery w:val="Page Numbers (Top of Page)"/>
          <w:docPartUnique/>
        </w:docPartObj>
      </w:sdtPr>
      <w:sdtEndPr>
        <w:rPr>
          <w:noProof/>
        </w:rPr>
      </w:sdtEndPr>
      <w:sdtContent>
        <w:r w:rsidRPr="00750E31">
          <w:rPr>
            <w:rFonts w:ascii="Times New Roman" w:hAnsi="Times New Roman" w:cs="Times New Roman"/>
            <w:sz w:val="24"/>
            <w:szCs w:val="24"/>
          </w:rPr>
          <w:fldChar w:fldCharType="begin"/>
        </w:r>
        <w:r w:rsidRPr="00750E31">
          <w:rPr>
            <w:rFonts w:ascii="Times New Roman" w:hAnsi="Times New Roman" w:cs="Times New Roman"/>
            <w:sz w:val="24"/>
            <w:szCs w:val="24"/>
          </w:rPr>
          <w:instrText xml:space="preserve"> PAGE   \* MERGEFORMAT </w:instrText>
        </w:r>
        <w:r w:rsidRPr="00750E31">
          <w:rPr>
            <w:rFonts w:ascii="Times New Roman" w:hAnsi="Times New Roman" w:cs="Times New Roman"/>
            <w:sz w:val="24"/>
            <w:szCs w:val="24"/>
          </w:rPr>
          <w:fldChar w:fldCharType="separate"/>
        </w:r>
        <w:r w:rsidR="00F40AF3">
          <w:rPr>
            <w:rFonts w:ascii="Times New Roman" w:hAnsi="Times New Roman" w:cs="Times New Roman"/>
            <w:noProof/>
            <w:sz w:val="24"/>
            <w:szCs w:val="24"/>
          </w:rPr>
          <w:t>1</w:t>
        </w:r>
        <w:r w:rsidRPr="00750E3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Njc1tDQ0Nzc1sLBU0lEKTi0uzszPAykwrAUAzeBmlywAAAA="/>
  </w:docVars>
  <w:rsids>
    <w:rsidRoot w:val="00F33C78"/>
    <w:rsid w:val="00120B60"/>
    <w:rsid w:val="001A1C15"/>
    <w:rsid w:val="004E328A"/>
    <w:rsid w:val="0051712A"/>
    <w:rsid w:val="00750E31"/>
    <w:rsid w:val="00913976"/>
    <w:rsid w:val="00966241"/>
    <w:rsid w:val="00A044C8"/>
    <w:rsid w:val="00A50DF6"/>
    <w:rsid w:val="00AE0BC1"/>
    <w:rsid w:val="00E124AF"/>
    <w:rsid w:val="00EB07EA"/>
    <w:rsid w:val="00F33C78"/>
    <w:rsid w:val="00F40AF3"/>
    <w:rsid w:val="00FD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E31"/>
  </w:style>
  <w:style w:type="paragraph" w:styleId="Footer">
    <w:name w:val="footer"/>
    <w:basedOn w:val="Normal"/>
    <w:link w:val="FooterChar"/>
    <w:uiPriority w:val="99"/>
    <w:unhideWhenUsed/>
    <w:rsid w:val="00750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E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E31"/>
  </w:style>
  <w:style w:type="paragraph" w:styleId="Footer">
    <w:name w:val="footer"/>
    <w:basedOn w:val="Normal"/>
    <w:link w:val="FooterChar"/>
    <w:uiPriority w:val="99"/>
    <w:unhideWhenUsed/>
    <w:rsid w:val="00750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E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1093</Words>
  <Characters>6235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2019-02-19T08:14:00Z</dcterms:created>
  <dcterms:modified xsi:type="dcterms:W3CDTF">2019-02-19T08:14:00Z</dcterms:modified>
</cp:coreProperties>
</file>